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5103"/>
        <w:spacing w:after="0" w:line="240" w:lineRule="auto"/>
        <w:rPr>
          <w:rFonts w:ascii="Times New Roman" w:hAnsi="Times New Roman" w:eastAsia="Times New Roman" w:cs="Times New Roman"/>
          <w:sz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lang w:eastAsia="ru-RU"/>
        </w:rPr>
        <w:t xml:space="preserve">Приложение № </w:t>
      </w:r>
      <w:r>
        <w:rPr>
          <w:rFonts w:ascii="Times New Roman" w:hAnsi="Times New Roman" w:eastAsia="Times New Roman" w:cs="Times New Roman"/>
          <w:sz w:val="24"/>
          <w:lang w:eastAsia="ru-RU"/>
        </w:rPr>
        <w:t xml:space="preserve">9</w:t>
      </w:r>
      <w:r>
        <w:rPr>
          <w:rFonts w:ascii="Times New Roman" w:hAnsi="Times New Roman" w:eastAsia="Times New Roman" w:cs="Times New Roman"/>
          <w:sz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lang w:eastAsia="ru-RU"/>
        </w:rPr>
      </w:r>
      <w:r>
        <w:rPr>
          <w:rFonts w:ascii="Times New Roman" w:hAnsi="Times New Roman" w:eastAsia="Times New Roman" w:cs="Times New Roman"/>
          <w:sz w:val="24"/>
          <w:lang w:eastAsia="ru-RU"/>
        </w:rPr>
      </w:r>
    </w:p>
    <w:p>
      <w:pPr>
        <w:ind w:firstLine="5103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к </w:t>
      </w:r>
      <w:r>
        <w:rPr>
          <w:rFonts w:ascii="Times New Roman" w:hAnsi="Times New Roman" w:eastAsia="Calibri" w:cs="Times New Roman"/>
          <w:sz w:val="24"/>
          <w:szCs w:val="24"/>
        </w:rPr>
        <w:t xml:space="preserve">Договору </w:t>
      </w:r>
      <w:r>
        <w:rPr>
          <w:rFonts w:ascii="Times New Roman" w:hAnsi="Times New Roman" w:eastAsia="Calibri" w:cs="Times New Roman"/>
          <w:sz w:val="24"/>
          <w:szCs w:val="24"/>
        </w:rPr>
        <w:t xml:space="preserve"> </w:t>
      </w:r>
      <w:r>
        <w:rPr>
          <w:rFonts w:ascii="Times New Roman" w:hAnsi="Times New Roman" w:eastAsia="Calibri" w:cs="Times New Roman"/>
          <w:sz w:val="24"/>
          <w:szCs w:val="24"/>
        </w:rPr>
        <w:t xml:space="preserve">№</w:t>
      </w:r>
      <w:r>
        <w:rPr>
          <w:rFonts w:ascii="Times New Roman" w:hAnsi="Times New Roman" w:eastAsia="Calibri" w:cs="Times New Roman"/>
          <w:sz w:val="24"/>
          <w:szCs w:val="24"/>
        </w:rPr>
        <w:t xml:space="preserve"> ____________________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5103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от «____» __________ 202_</w:t>
      </w:r>
      <w:r>
        <w:rPr>
          <w:rFonts w:ascii="Times New Roman" w:hAnsi="Times New Roman" w:eastAsia="Calibri" w:cs="Times New Roman"/>
          <w:sz w:val="24"/>
          <w:szCs w:val="24"/>
        </w:rPr>
      </w:r>
      <w:bookmarkStart w:id="0" w:name="_GoBack"/>
      <w:r/>
      <w:bookmarkEnd w:id="0"/>
      <w:r>
        <w:rPr>
          <w:rFonts w:ascii="Times New Roman" w:hAnsi="Times New Roman" w:eastAsia="Calibri" w:cs="Times New Roman"/>
          <w:sz w:val="24"/>
          <w:szCs w:val="24"/>
        </w:rPr>
        <w:t xml:space="preserve"> </w:t>
      </w:r>
      <w:r>
        <w:rPr>
          <w:rFonts w:ascii="Times New Roman" w:hAnsi="Times New Roman" w:eastAsia="Calibri" w:cs="Times New Roman"/>
          <w:sz w:val="24"/>
          <w:szCs w:val="24"/>
        </w:rPr>
        <w:t xml:space="preserve">г.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right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right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851"/>
        <w:jc w:val="center"/>
        <w:tabs>
          <w:tab w:val="left" w:pos="1134" w:leader="none"/>
        </w:tabs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Критерии отбора Банков-Гарантов</w:t>
      </w:r>
      <w:r>
        <w:rPr>
          <w:rStyle w:val="936"/>
          <w:rFonts w:ascii="Times New Roman" w:hAnsi="Times New Roman" w:cs="Times New Roman"/>
          <w:sz w:val="26"/>
          <w:szCs w:val="26"/>
        </w:rPr>
        <w:footnoteReference w:id="2"/>
      </w:r>
      <w:r>
        <w:rPr>
          <w:rFonts w:ascii="Times New Roman" w:hAnsi="Times New Roman" w:cs="Times New Roman"/>
          <w:b/>
          <w:sz w:val="26"/>
          <w:szCs w:val="26"/>
        </w:rPr>
      </w:r>
      <w:r>
        <w:rPr>
          <w:rFonts w:ascii="Times New Roman" w:hAnsi="Times New Roman" w:cs="Times New Roman"/>
          <w:b/>
          <w:sz w:val="26"/>
          <w:szCs w:val="26"/>
        </w:rPr>
      </w:r>
    </w:p>
    <w:p>
      <w:pPr>
        <w:ind w:firstLine="851"/>
        <w:jc w:val="both"/>
        <w:spacing w:after="0" w:line="240" w:lineRule="auto"/>
        <w:shd w:val="clear" w:color="auto" w:fill="ffffff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Банк-Гарант (кредитная организация), выдающий банковскую гарантию, должен входить в перечень Банков-Гарантов Группы </w:t>
      </w:r>
      <w:r>
        <w:rPr>
          <w:rFonts w:ascii="Times New Roman" w:hAnsi="Times New Roman" w:cs="Times New Roman"/>
          <w:sz w:val="26"/>
          <w:szCs w:val="26"/>
        </w:rPr>
        <w:t xml:space="preserve">РусГидро</w:t>
      </w:r>
      <w:r>
        <w:rPr>
          <w:rFonts w:ascii="Times New Roman" w:hAnsi="Times New Roman" w:cs="Times New Roman"/>
          <w:sz w:val="26"/>
          <w:szCs w:val="26"/>
          <w:vertAlign w:val="superscript"/>
        </w:rPr>
        <w:footnoteReference w:id="3"/>
      </w:r>
      <w:r>
        <w:rPr>
          <w:rFonts w:ascii="Times New Roman" w:hAnsi="Times New Roman" w:cs="Times New Roman"/>
          <w:sz w:val="26"/>
          <w:szCs w:val="26"/>
        </w:rPr>
        <w:t xml:space="preserve">, а также соответствовать следующим критериям: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numPr>
          <w:ilvl w:val="1"/>
          <w:numId w:val="2"/>
        </w:numPr>
        <w:ind w:left="0" w:firstLine="851"/>
        <w:jc w:val="both"/>
        <w:spacing w:after="0" w:line="240" w:lineRule="auto"/>
        <w:shd w:val="clear" w:color="auto" w:fill="ffffff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Иметь действующую лицензию Центрального банка Российской Федерации (далее – ЦБ РФ), разрешающую выдачу банковских гарантий. При этом лицензия не должна быть приостановлена полностью или частично.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numPr>
          <w:ilvl w:val="1"/>
          <w:numId w:val="2"/>
        </w:numPr>
        <w:ind w:left="0" w:firstLine="851"/>
        <w:jc w:val="both"/>
        <w:spacing w:after="0" w:line="240" w:lineRule="auto"/>
        <w:shd w:val="clear" w:color="auto" w:fill="ffffff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Присутствовать в Перечне кредитных организаций, соответствующих</w:t>
      </w:r>
      <w:r>
        <w:rPr>
          <w:rFonts w:ascii="Times New Roman" w:hAnsi="Times New Roman" w:cs="Times New Roman"/>
          <w:sz w:val="26"/>
          <w:szCs w:val="26"/>
        </w:rPr>
        <w:t xml:space="preserve"> требованиям, установленным ч. 1 ст. 2 Федерального закона от 21.07.2014 № 213-ФЗ «Об открытии банковских счетов и аккредитивов, о заключении договоров банковского вклада, договора на ведение реестра владельцев ценных бумаг хозяйственными обществами, имеющ</w:t>
      </w:r>
      <w:r>
        <w:rPr>
          <w:rFonts w:ascii="Times New Roman" w:hAnsi="Times New Roman" w:cs="Times New Roman"/>
          <w:sz w:val="26"/>
          <w:szCs w:val="26"/>
        </w:rPr>
        <w:t xml:space="preserve">ими стратегическое значение для оборонно-промышленного комплекса и безопасности Российской Федерации, и внесении изменений в отдельные законодательные акты Российской Федерации» (далее – 213-ФЗ) или иным документом, его заменяющим (в случае отмены 213-ФЗ).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numPr>
          <w:ilvl w:val="1"/>
          <w:numId w:val="2"/>
        </w:numPr>
        <w:ind w:left="0" w:firstLine="851"/>
        <w:jc w:val="both"/>
        <w:spacing w:after="0" w:line="240" w:lineRule="auto"/>
        <w:shd w:val="clear" w:color="auto" w:fill="ffffff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Иметь собственные средства (капитал) в размере не менее 30 млрд. рублей на 01 января</w:t>
      </w:r>
      <w:r>
        <w:rPr>
          <w:rFonts w:ascii="Times New Roman" w:hAnsi="Times New Roman" w:cs="Times New Roman"/>
          <w:sz w:val="26"/>
          <w:szCs w:val="26"/>
        </w:rPr>
        <w:t xml:space="preserve"> текущего календарного года, опубликованного на официальном сайте ЦБ РФ в информационно-телекоммуникационной сети «Интернет» (www.cbr.ru) по строке 000 «Расчет собственных средств (капитала) («Базель III»)», код формы 0409123 и рассчитанного в соответствии</w:t>
      </w:r>
      <w:r>
        <w:rPr>
          <w:rFonts w:ascii="Times New Roman" w:hAnsi="Times New Roman" w:cs="Times New Roman"/>
          <w:sz w:val="26"/>
          <w:szCs w:val="26"/>
        </w:rPr>
        <w:t xml:space="preserve"> с Положением Банка России от 04.07.2018 № 646-П «О методике определения собственных средств (капитала) кредитных организаций («Базель III»)» (далее – Методика ЦБ РФ) или иным документом, его заменяющим (в случае изменения или отмены указанного Положения).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numPr>
          <w:ilvl w:val="1"/>
          <w:numId w:val="2"/>
        </w:numPr>
        <w:ind w:left="0" w:firstLine="851"/>
        <w:jc w:val="both"/>
        <w:spacing w:after="0" w:line="240" w:lineRule="auto"/>
        <w:shd w:val="clear" w:color="auto" w:fill="ffffff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Иметь кредитный рейтинг по национальной шкале не ниже уровня «BBB» рейтингового агентства АКРА или не ниже уровня «</w:t>
      </w:r>
      <w:r>
        <w:rPr>
          <w:rFonts w:ascii="Times New Roman" w:hAnsi="Times New Roman" w:cs="Times New Roman"/>
          <w:sz w:val="26"/>
          <w:szCs w:val="26"/>
        </w:rPr>
        <w:t xml:space="preserve">ruBBB</w:t>
      </w:r>
      <w:r>
        <w:rPr>
          <w:rFonts w:ascii="Times New Roman" w:hAnsi="Times New Roman" w:cs="Times New Roman"/>
          <w:sz w:val="26"/>
          <w:szCs w:val="26"/>
        </w:rPr>
        <w:t xml:space="preserve">» рейтингового агентства Эксперт РА. В случае отсутствия у кредитной организации рейтинга АКРА или Эксперт РА, кредитная организация должна иметь рейтинг долгосрочной кредитоспособности не ниже уровня «ВВ» по классификации рейтинговых агентств «</w:t>
      </w:r>
      <w:r>
        <w:rPr>
          <w:rFonts w:ascii="Times New Roman" w:hAnsi="Times New Roman" w:cs="Times New Roman"/>
          <w:sz w:val="26"/>
          <w:szCs w:val="26"/>
        </w:rPr>
        <w:t xml:space="preserve">Fitch-Ratings</w:t>
      </w:r>
      <w:r>
        <w:rPr>
          <w:rFonts w:ascii="Times New Roman" w:hAnsi="Times New Roman" w:cs="Times New Roman"/>
          <w:sz w:val="26"/>
          <w:szCs w:val="26"/>
        </w:rPr>
        <w:t xml:space="preserve">» или «</w:t>
      </w:r>
      <w:r>
        <w:rPr>
          <w:rFonts w:ascii="Times New Roman" w:hAnsi="Times New Roman" w:cs="Times New Roman"/>
          <w:sz w:val="26"/>
          <w:szCs w:val="26"/>
        </w:rPr>
        <w:t xml:space="preserve">Standard</w:t>
      </w:r>
      <w:r>
        <w:rPr>
          <w:rFonts w:ascii="Times New Roman" w:hAnsi="Times New Roman" w:cs="Times New Roman"/>
          <w:sz w:val="26"/>
          <w:szCs w:val="26"/>
        </w:rPr>
        <w:t xml:space="preserve"> &amp; </w:t>
      </w:r>
      <w:r>
        <w:rPr>
          <w:rFonts w:ascii="Times New Roman" w:hAnsi="Times New Roman" w:cs="Times New Roman"/>
          <w:sz w:val="26"/>
          <w:szCs w:val="26"/>
        </w:rPr>
        <w:t xml:space="preserve">Poor's</w:t>
      </w:r>
      <w:r>
        <w:rPr>
          <w:rFonts w:ascii="Times New Roman" w:hAnsi="Times New Roman" w:cs="Times New Roman"/>
          <w:sz w:val="26"/>
          <w:szCs w:val="26"/>
        </w:rPr>
        <w:t xml:space="preserve">» либо уровня «Bа2» по классификации рейтингового агентства «</w:t>
      </w:r>
      <w:r>
        <w:rPr>
          <w:rFonts w:ascii="Times New Roman" w:hAnsi="Times New Roman" w:cs="Times New Roman"/>
          <w:sz w:val="26"/>
          <w:szCs w:val="26"/>
        </w:rPr>
        <w:t xml:space="preserve">Moody's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Investors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Service</w:t>
      </w:r>
      <w:r>
        <w:rPr>
          <w:rFonts w:ascii="Times New Roman" w:hAnsi="Times New Roman" w:cs="Times New Roman"/>
          <w:sz w:val="26"/>
          <w:szCs w:val="26"/>
        </w:rPr>
        <w:t xml:space="preserve">»</w:t>
      </w:r>
      <w:r>
        <w:rPr>
          <w:rFonts w:ascii="Times New Roman" w:hAnsi="Times New Roman" w:cs="Times New Roman"/>
          <w:sz w:val="26"/>
          <w:szCs w:val="26"/>
          <w:vertAlign w:val="superscript"/>
        </w:rPr>
        <w:footnoteReference w:id="4"/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numPr>
          <w:ilvl w:val="1"/>
          <w:numId w:val="2"/>
        </w:numPr>
        <w:ind w:left="0" w:firstLine="851"/>
        <w:jc w:val="both"/>
        <w:spacing w:after="0" w:line="240" w:lineRule="auto"/>
        <w:shd w:val="clear" w:color="auto" w:fill="ffffff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Участвовать в системе обязательного страхования вкладов в банках Российской Федерации в соответствии с Федеральным законом от 23.12.2003 № 177-ФЗ «О страховании вкладов в банках Российской Федерации»</w:t>
      </w:r>
      <w:r>
        <w:rPr>
          <w:rFonts w:ascii="Times New Roman" w:hAnsi="Times New Roman" w:cs="Times New Roman"/>
          <w:sz w:val="26"/>
          <w:szCs w:val="26"/>
          <w:vertAlign w:val="superscript"/>
        </w:rPr>
        <w:footnoteReference w:id="5"/>
      </w:r>
      <w:r>
        <w:rPr>
          <w:rFonts w:ascii="Times New Roman" w:hAnsi="Times New Roman" w:cs="Times New Roman"/>
          <w:sz w:val="26"/>
          <w:szCs w:val="26"/>
        </w:rPr>
        <w:t xml:space="preserve">.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numPr>
          <w:ilvl w:val="1"/>
          <w:numId w:val="2"/>
        </w:numPr>
        <w:ind w:left="0" w:firstLine="851"/>
        <w:jc w:val="both"/>
        <w:spacing w:after="0" w:line="240" w:lineRule="auto"/>
        <w:shd w:val="clear" w:color="auto" w:fill="ffffff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Не находиться в пр</w:t>
      </w:r>
      <w:r>
        <w:rPr>
          <w:rFonts w:ascii="Times New Roman" w:hAnsi="Times New Roman" w:cs="Times New Roman"/>
          <w:sz w:val="26"/>
          <w:szCs w:val="26"/>
        </w:rPr>
        <w:t xml:space="preserve">оцессе финансового оздоровления (санации), а также в Реестре банков, находящихся в процессе финансового оздоровления (опубликован в разделе «Оздоровление банков» сайта Государственной корпорации «Агентство по страхованию вкладов» (http://www.asv.org.ru))».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numPr>
          <w:ilvl w:val="1"/>
          <w:numId w:val="2"/>
        </w:numPr>
        <w:ind w:left="0" w:firstLine="851"/>
        <w:jc w:val="both"/>
        <w:spacing w:after="0" w:line="240" w:lineRule="auto"/>
        <w:shd w:val="clear" w:color="auto" w:fill="ffffff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Не иметь просроченную задолженность перед Обществом и компаниями Группы </w:t>
      </w:r>
      <w:r>
        <w:rPr>
          <w:rFonts w:ascii="Times New Roman" w:hAnsi="Times New Roman" w:cs="Times New Roman"/>
          <w:sz w:val="26"/>
          <w:szCs w:val="26"/>
        </w:rPr>
        <w:t xml:space="preserve">РусГидро</w:t>
      </w:r>
      <w:r>
        <w:rPr>
          <w:rFonts w:ascii="Times New Roman" w:hAnsi="Times New Roman" w:cs="Times New Roman"/>
          <w:sz w:val="26"/>
          <w:szCs w:val="26"/>
        </w:rPr>
        <w:t xml:space="preserve">.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numPr>
          <w:ilvl w:val="1"/>
          <w:numId w:val="2"/>
        </w:numPr>
        <w:ind w:left="0" w:firstLine="851"/>
        <w:jc w:val="both"/>
        <w:spacing w:after="0" w:line="240" w:lineRule="auto"/>
        <w:shd w:val="clear" w:color="auto" w:fill="ffffff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Присутствовать (иметь отделение, филиал) по месту нахождения Общества, его обособленного подразделения или Филиала, для нужд которого заключается Договор</w:t>
      </w:r>
      <w:r>
        <w:rPr>
          <w:rFonts w:ascii="Times New Roman" w:hAnsi="Times New Roman" w:cs="Times New Roman"/>
          <w:sz w:val="26"/>
          <w:szCs w:val="26"/>
          <w:vertAlign w:val="superscript"/>
        </w:rPr>
        <w:footnoteReference w:id="6"/>
      </w:r>
      <w:r>
        <w:rPr>
          <w:rFonts w:ascii="Times New Roman" w:hAnsi="Times New Roman" w:cs="Times New Roman"/>
          <w:sz w:val="26"/>
          <w:szCs w:val="26"/>
        </w:rPr>
        <w:t xml:space="preserve">.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numPr>
          <w:ilvl w:val="1"/>
          <w:numId w:val="2"/>
        </w:numPr>
        <w:ind w:left="0" w:firstLine="851"/>
        <w:jc w:val="both"/>
        <w:spacing w:after="0" w:line="240" w:lineRule="auto"/>
        <w:shd w:val="clear" w:color="auto" w:fill="ffffff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Требования, установленные пунктами 2 – 4 настоящих Критериев, не распространяются на кредитные организации: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numPr>
          <w:ilvl w:val="1"/>
          <w:numId w:val="3"/>
        </w:numPr>
        <w:ind w:left="0" w:firstLine="851"/>
        <w:jc w:val="both"/>
        <w:spacing w:after="0" w:line="240" w:lineRule="auto"/>
        <w:shd w:val="clear" w:color="auto" w:fill="ffffff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В отношении которых или в отношении лиц, под контролем либо значительным влиянием которых находятся кредитные организации, по состоянию на 01.01.2015 действуют международные санкции, и кредитные организации определены отдельным решени</w:t>
      </w:r>
      <w:r>
        <w:rPr>
          <w:rFonts w:ascii="Times New Roman" w:hAnsi="Times New Roman" w:cs="Times New Roman"/>
          <w:sz w:val="26"/>
          <w:szCs w:val="26"/>
        </w:rPr>
        <w:t xml:space="preserve">ем Правительства Российской Федерации в качестве уполномоченной кредитной организации, в которой могут размещаться средства федерального бюджета на банковских депозитах в соответствии с постановлением Правительства Российской Федерации от 24.12.2011 № 1121</w:t>
      </w:r>
      <w:r>
        <w:rPr>
          <w:rFonts w:ascii="Times New Roman" w:hAnsi="Times New Roman" w:cs="Times New Roman"/>
          <w:sz w:val="26"/>
          <w:szCs w:val="26"/>
        </w:rPr>
        <w:t xml:space="preserve"> «О порядке размещения средств федерального бюджета, средств единого казначейского счета и резерва средств на осуществление обязательного социального страхования от несчастных случаев на производстве и профессиональных заболеваний на банковских депозитах».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numPr>
          <w:ilvl w:val="1"/>
          <w:numId w:val="3"/>
        </w:numPr>
        <w:ind w:left="0" w:firstLine="851"/>
        <w:jc w:val="both"/>
        <w:spacing w:after="0" w:line="240" w:lineRule="auto"/>
        <w:shd w:val="clear" w:color="auto" w:fill="ffffff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Основной целью деятельности которых является реализация программ поддержки малого и среднего предпринимательства в соответст</w:t>
      </w:r>
      <w:r>
        <w:rPr>
          <w:rFonts w:ascii="Times New Roman" w:hAnsi="Times New Roman" w:cs="Times New Roman"/>
          <w:sz w:val="26"/>
          <w:szCs w:val="26"/>
        </w:rPr>
        <w:t xml:space="preserve">вии с Федеральным законом от 24.07.2007 № 209-ФЗ «О развитии малого и среднего предпринимательства в Российской Федерации» и Указом Президента Российской Федерации от 05.06.2015 № 287 «О мерах по дальнейшему развитию малого и среднего предпринимательства».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numPr>
          <w:ilvl w:val="1"/>
          <w:numId w:val="3"/>
        </w:numPr>
        <w:ind w:left="0" w:firstLine="851"/>
        <w:jc w:val="both"/>
        <w:spacing w:after="0" w:line="240" w:lineRule="auto"/>
        <w:shd w:val="clear" w:color="auto" w:fill="ffffff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Утвержденную Наблюдательным советом Асс</w:t>
      </w:r>
      <w:r>
        <w:rPr>
          <w:rFonts w:ascii="Times New Roman" w:hAnsi="Times New Roman" w:cs="Times New Roman"/>
          <w:sz w:val="26"/>
          <w:szCs w:val="26"/>
        </w:rPr>
        <w:t xml:space="preserve">оциации «Некоммерческое партнерство Совет рынка по организации эффективной системы оптовой и розничной торговли электрической энергией и мощностью» в качестве уполномоченной кредитной организации, ответственной за проведение расчетов между субъектами ОРЭМ.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numPr>
          <w:ilvl w:val="1"/>
          <w:numId w:val="3"/>
        </w:numPr>
        <w:ind w:left="0" w:firstLine="851"/>
        <w:jc w:val="both"/>
        <w:spacing w:after="0" w:line="240" w:lineRule="auto"/>
        <w:shd w:val="clear" w:color="auto" w:fill="ffffff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ВЭБ.РФ.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numPr>
          <w:ilvl w:val="1"/>
          <w:numId w:val="2"/>
        </w:numPr>
        <w:ind w:left="0" w:firstLine="851"/>
        <w:jc w:val="both"/>
        <w:spacing w:after="0" w:line="240" w:lineRule="auto"/>
        <w:shd w:val="clear" w:color="auto" w:fill="ffffff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Максимальная сумма всех одновременно действующих банковских гарантий, выданных одной кредитной организацией, обеспечивающих обязательства контрагента перед Группой </w:t>
      </w:r>
      <w:r>
        <w:rPr>
          <w:rFonts w:ascii="Times New Roman" w:hAnsi="Times New Roman" w:cs="Times New Roman"/>
          <w:sz w:val="26"/>
          <w:szCs w:val="26"/>
        </w:rPr>
        <w:t xml:space="preserve">РусГидро</w:t>
      </w:r>
      <w:r>
        <w:rPr>
          <w:rFonts w:ascii="Times New Roman" w:hAnsi="Times New Roman" w:cs="Times New Roman"/>
          <w:sz w:val="26"/>
          <w:szCs w:val="26"/>
        </w:rPr>
        <w:t xml:space="preserve">, не должна превышать размер лимита риска, определяемого по формуле: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851"/>
        <w:jc w:val="both"/>
        <w:spacing w:after="0" w:line="240" w:lineRule="auto"/>
        <w:shd w:val="clear" w:color="auto" w:fill="ffffff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</w:rPr>
        <w:t xml:space="preserve">Lim</w:t>
      </w:r>
      <w:r>
        <w:rPr>
          <w:rFonts w:ascii="Times New Roman" w:hAnsi="Times New Roman" w:cs="Times New Roman"/>
          <w:b/>
          <w:i/>
          <w:sz w:val="26"/>
          <w:szCs w:val="26"/>
          <w:vertAlign w:val="subscript"/>
        </w:rPr>
        <w:t xml:space="preserve">Ai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  =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r</w:t>
      </w:r>
      <w:r>
        <w:rPr>
          <w:rFonts w:ascii="Times New Roman" w:hAnsi="Times New Roman" w:cs="Times New Roman"/>
          <w:b/>
          <w:i/>
          <w:sz w:val="26"/>
          <w:szCs w:val="26"/>
          <w:vertAlign w:val="subscript"/>
        </w:rPr>
        <w:t xml:space="preserve">i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 × 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СK</w:t>
      </w:r>
      <w:r>
        <w:rPr>
          <w:rFonts w:ascii="Times New Roman" w:hAnsi="Times New Roman" w:cs="Times New Roman"/>
          <w:b/>
          <w:i/>
          <w:sz w:val="26"/>
          <w:szCs w:val="26"/>
          <w:vertAlign w:val="subscript"/>
        </w:rPr>
        <w:t xml:space="preserve">i</w:t>
      </w:r>
      <w:r>
        <w:rPr>
          <w:rFonts w:ascii="Times New Roman" w:hAnsi="Times New Roman" w:cs="Times New Roman"/>
          <w:sz w:val="26"/>
          <w:szCs w:val="26"/>
        </w:rPr>
        <w:t xml:space="preserve">, где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tbl>
      <w:tblPr>
        <w:tblW w:w="9606" w:type="dxa"/>
        <w:tblLayout w:type="fixed"/>
        <w:tblLook w:val="01E0" w:firstRow="1" w:lastRow="1" w:firstColumn="1" w:lastColumn="1" w:noHBand="0" w:noVBand="0"/>
      </w:tblPr>
      <w:tblGrid>
        <w:gridCol w:w="817"/>
        <w:gridCol w:w="284"/>
        <w:gridCol w:w="8505"/>
      </w:tblGrid>
      <w:tr>
        <w:tblPrEx/>
        <w:trPr>
          <w:trHeight w:val="426"/>
        </w:trPr>
        <w:tc>
          <w:tcPr>
            <w:shd w:val="clear" w:color="auto" w:fill="auto"/>
            <w:tcW w:w="817" w:type="dxa"/>
            <w:textDirection w:val="lrTb"/>
            <w:noWrap w:val="false"/>
          </w:tcPr>
          <w:p>
            <w:pPr>
              <w:ind w:firstLine="851"/>
              <w:jc w:val="both"/>
              <w:spacing w:after="0" w:line="240" w:lineRule="auto"/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Lim</w:t>
            </w:r>
            <w:r>
              <w:rPr>
                <w:rFonts w:ascii="Times New Roman" w:hAnsi="Times New Roman" w:cs="Times New Roman"/>
                <w:b/>
                <w:i/>
                <w:sz w:val="26"/>
                <w:szCs w:val="26"/>
                <w:vertAlign w:val="subscript"/>
                <w:lang w:val="en-US"/>
              </w:rPr>
              <w:t xml:space="preserve">Ai 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shd w:val="clear" w:color="auto" w:fill="auto"/>
            <w:tcW w:w="284" w:type="dxa"/>
            <w:textDirection w:val="lrTb"/>
            <w:noWrap w:val="false"/>
          </w:tcPr>
          <w:p>
            <w:pPr>
              <w:ind w:firstLine="851"/>
              <w:jc w:val="both"/>
              <w:spacing w:after="0" w:line="240" w:lineRule="auto"/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 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shd w:val="clear" w:color="auto" w:fill="auto"/>
            <w:tcW w:w="8505" w:type="dxa"/>
            <w:textDirection w:val="lrTb"/>
            <w:noWrap w:val="false"/>
          </w:tcPr>
          <w:p>
            <w:pPr>
              <w:ind w:firstLine="851"/>
              <w:jc w:val="both"/>
              <w:spacing w:after="0" w:line="240" w:lineRule="auto"/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Лимит риска для i-ой кредитной организации</w:t>
            </w:r>
            <w:r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footnoteReference w:id="7"/>
            </w:r>
            <w:r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 xml:space="preserve"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</w:tr>
      <w:tr>
        <w:tblPrEx/>
        <w:trPr>
          <w:trHeight w:val="280"/>
        </w:trPr>
        <w:tc>
          <w:tcPr>
            <w:shd w:val="clear" w:color="auto" w:fill="auto"/>
            <w:tcW w:w="817" w:type="dxa"/>
            <w:textDirection w:val="lrTb"/>
            <w:noWrap w:val="false"/>
          </w:tcPr>
          <w:p>
            <w:pPr>
              <w:ind w:firstLine="851"/>
              <w:jc w:val="both"/>
              <w:spacing w:after="0" w:line="240" w:lineRule="auto"/>
              <w:shd w:val="clear" w:color="auto" w:fill="ffffff"/>
              <w:rPr>
                <w:rFonts w:ascii="Times New Roman" w:hAnsi="Times New Roman" w:cs="Times New Roman"/>
                <w:b/>
                <w:i/>
                <w:sz w:val="26"/>
                <w:szCs w:val="26"/>
                <w:vertAlign w:val="subscript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С</w:t>
            </w:r>
            <w:r>
              <w:rPr>
                <w:rFonts w:ascii="Times New Roman" w:hAnsi="Times New Roman" w:cs="Times New Roman"/>
                <w:b/>
                <w:i/>
                <w:sz w:val="26"/>
                <w:szCs w:val="26"/>
                <w:lang w:val="en-US"/>
              </w:rPr>
              <w:t xml:space="preserve">K</w:t>
            </w:r>
            <w:r>
              <w:rPr>
                <w:rFonts w:ascii="Times New Roman" w:hAnsi="Times New Roman" w:cs="Times New Roman"/>
                <w:b/>
                <w:i/>
                <w:sz w:val="26"/>
                <w:szCs w:val="26"/>
                <w:vertAlign w:val="subscript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b/>
                <w:i/>
                <w:sz w:val="26"/>
                <w:szCs w:val="26"/>
                <w:vertAlign w:val="subscript"/>
              </w:rPr>
            </w:r>
            <w:r>
              <w:rPr>
                <w:rFonts w:ascii="Times New Roman" w:hAnsi="Times New Roman" w:cs="Times New Roman"/>
                <w:b/>
                <w:i/>
                <w:sz w:val="26"/>
                <w:szCs w:val="26"/>
                <w:vertAlign w:val="subscript"/>
              </w:rPr>
            </w:r>
          </w:p>
          <w:p>
            <w:pPr>
              <w:ind w:firstLine="851"/>
              <w:jc w:val="both"/>
              <w:spacing w:after="0" w:line="240" w:lineRule="auto"/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shd w:val="clear" w:color="auto" w:fill="auto"/>
            <w:tcW w:w="284" w:type="dxa"/>
            <w:textDirection w:val="lrTb"/>
            <w:noWrap w:val="false"/>
          </w:tcPr>
          <w:p>
            <w:pPr>
              <w:ind w:firstLine="851"/>
              <w:jc w:val="both"/>
              <w:spacing w:after="0" w:line="240" w:lineRule="auto"/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shd w:val="clear" w:color="auto" w:fill="auto"/>
            <w:tcW w:w="8505" w:type="dxa"/>
            <w:textDirection w:val="lrTb"/>
            <w:noWrap w:val="false"/>
          </w:tcPr>
          <w:p>
            <w:pPr>
              <w:ind w:firstLine="851"/>
              <w:jc w:val="both"/>
              <w:spacing w:after="0" w:line="240" w:lineRule="auto"/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размер собственных средств (капитала) i-ой кредитной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организации на 01 января текущего календарного года, опубликованный на официальном сайте ЦБ РФ в информационно-телекоммуникационной сети «Интернет» (</w:t>
            </w:r>
            <w:hyperlink r:id="rId9" w:tooltip="http://www.cbr.ru" w:history="1">
              <w:r>
                <w:rPr>
                  <w:rStyle w:val="937"/>
                  <w:rFonts w:ascii="Times New Roman" w:hAnsi="Times New Roman" w:cs="Times New Roman"/>
                  <w:sz w:val="26"/>
                  <w:szCs w:val="26"/>
                </w:rPr>
                <w:t xml:space="preserve">www.cbr.ru</w:t>
              </w:r>
            </w:hyperlink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) по строке 000 «Расчет собственных средств (капитала) («Базель III»)», код формы 0409123;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</w:tr>
      <w:tr>
        <w:tblPrEx/>
        <w:trPr>
          <w:trHeight w:val="993"/>
        </w:trPr>
        <w:tc>
          <w:tcPr>
            <w:tcW w:w="817" w:type="dxa"/>
            <w:textDirection w:val="lrTb"/>
            <w:noWrap w:val="false"/>
          </w:tcPr>
          <w:p>
            <w:pPr>
              <w:ind w:firstLine="851"/>
              <w:jc w:val="both"/>
              <w:spacing w:after="0" w:line="240" w:lineRule="auto"/>
              <w:shd w:val="clear" w:color="auto" w:fill="ffffff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r</w:t>
            </w:r>
            <w:r>
              <w:rPr>
                <w:rFonts w:ascii="Times New Roman" w:hAnsi="Times New Roman" w:cs="Times New Roman"/>
                <w:b/>
                <w:i/>
                <w:sz w:val="26"/>
                <w:szCs w:val="26"/>
                <w:vertAlign w:val="subscript"/>
              </w:rPr>
              <w:t xml:space="preserve">i</w:t>
            </w: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r>
          </w:p>
        </w:tc>
        <w:tc>
          <w:tcPr>
            <w:tcW w:w="284" w:type="dxa"/>
            <w:textDirection w:val="lrTb"/>
            <w:noWrap w:val="false"/>
          </w:tcPr>
          <w:p>
            <w:pPr>
              <w:ind w:firstLine="851"/>
              <w:jc w:val="both"/>
              <w:spacing w:after="0" w:line="240" w:lineRule="auto"/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8505" w:type="dxa"/>
            <w:textDirection w:val="lrTb"/>
            <w:noWrap w:val="false"/>
          </w:tcPr>
          <w:p>
            <w:pPr>
              <w:ind w:firstLine="851"/>
              <w:jc w:val="both"/>
              <w:spacing w:after="0" w:line="240" w:lineRule="auto"/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рейтинговый коэффициент</w:t>
            </w:r>
            <w:r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footnoteReference w:id="8"/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для i-ой кредитной организации, равный: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  <w:p>
            <w:pPr>
              <w:ind w:firstLine="851"/>
              <w:jc w:val="both"/>
              <w:spacing w:after="0" w:line="240" w:lineRule="auto"/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0,05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- если i-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кредитная организация имеет национальный рейтинг кредитоспособности не ниже уровня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«АА-»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 классификации рейтингового агентства АКРА или не ниже уровня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«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 xml:space="preserve">ru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А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 xml:space="preserve">A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-»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 классификации рейтингового агентства Эксперт РА;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  <w:p>
            <w:pPr>
              <w:ind w:firstLine="851"/>
              <w:jc w:val="both"/>
              <w:spacing w:after="0" w:line="240" w:lineRule="auto"/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0,025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- если i-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кредитная организация имеет национальный рейтинг кредитоспособности не ниже уровня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«А-»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 классификации рейтингового агентства АКРА или не ниже уровня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«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ruA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-»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 классификации рейтингового агентства Эксперт РА;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  <w:p>
            <w:pPr>
              <w:ind w:firstLine="851"/>
              <w:jc w:val="both"/>
              <w:spacing w:after="0" w:line="240" w:lineRule="auto"/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0,015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- если i-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кредитная организация имеет национальный рейтинг кредитоспособности не ниже уровня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«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 xml:space="preserve">BB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В»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 классификации рейтингового агентства АКРА или не ниже уровня «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ruBB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В» по классификации рейтингового агентства Эксперт РА, а также находится в процессе финансового оздоровления (санации).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  <w:p>
            <w:pPr>
              <w:ind w:firstLine="851"/>
              <w:jc w:val="both"/>
              <w:spacing w:after="0" w:line="240" w:lineRule="auto"/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  <w:p>
            <w:pPr>
              <w:ind w:firstLine="851"/>
              <w:jc w:val="both"/>
              <w:spacing w:after="0" w:line="240" w:lineRule="auto"/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  <w:p>
            <w:pPr>
              <w:ind w:firstLine="851"/>
              <w:jc w:val="both"/>
              <w:spacing w:after="0" w:line="240" w:lineRule="auto"/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  <w:p>
            <w:pPr>
              <w:ind w:firstLine="851"/>
              <w:jc w:val="both"/>
              <w:spacing w:after="0" w:line="240" w:lineRule="auto"/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  <w:p>
            <w:pPr>
              <w:ind w:firstLine="851"/>
              <w:jc w:val="both"/>
              <w:spacing w:after="0" w:line="240" w:lineRule="auto"/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  <w:p>
            <w:pPr>
              <w:ind w:firstLine="851"/>
              <w:jc w:val="both"/>
              <w:spacing w:after="0" w:line="240" w:lineRule="auto"/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</w:tr>
    </w:tbl>
    <w:p>
      <w:pPr>
        <w:ind w:firstLine="851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 xml:space="preserve">от Заказчика</w:t>
      </w:r>
      <w:r>
        <w:rPr>
          <w:rFonts w:ascii="Times New Roman" w:hAnsi="Times New Roman" w:eastAsia="Times New Roman" w:cs="Times New Roman"/>
          <w:b/>
        </w:rPr>
        <w:t xml:space="preserve">:</w:t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ab/>
        <w:t xml:space="preserve">   </w:t>
      </w:r>
      <w:r>
        <w:rPr>
          <w:rFonts w:ascii="Times New Roman" w:hAnsi="Times New Roman" w:eastAsia="Times New Roman" w:cs="Times New Roman"/>
          <w:b/>
        </w:rPr>
        <w:t xml:space="preserve">                 </w:t>
      </w:r>
      <w:r>
        <w:rPr>
          <w:rFonts w:ascii="Times New Roman" w:hAnsi="Times New Roman" w:eastAsia="Times New Roman" w:cs="Times New Roman"/>
          <w:b/>
        </w:rPr>
        <w:t xml:space="preserve">от  Подрядчика</w:t>
      </w:r>
      <w:r>
        <w:rPr>
          <w:rFonts w:ascii="Times New Roman" w:hAnsi="Times New Roman" w:eastAsia="Times New Roman" w:cs="Times New Roman"/>
          <w:b/>
        </w:rPr>
        <w:t xml:space="preserve">:</w:t>
      </w:r>
      <w:r>
        <w:rPr>
          <w:rFonts w:ascii="Times New Roman" w:hAnsi="Times New Roman" w:eastAsia="Times New Roman" w:cs="Times New Roman"/>
          <w:b/>
        </w:rPr>
      </w:r>
      <w:r>
        <w:rPr>
          <w:rFonts w:ascii="Times New Roman" w:hAnsi="Times New Roman" w:eastAsia="Times New Roman" w:cs="Times New Roman"/>
          <w:b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</w:r>
      <w:r>
        <w:rPr>
          <w:rFonts w:ascii="Times New Roman" w:hAnsi="Times New Roman" w:eastAsia="Times New Roman" w:cs="Times New Roman"/>
          <w:b/>
        </w:rPr>
      </w:r>
      <w:r>
        <w:rPr>
          <w:rFonts w:ascii="Times New Roman" w:hAnsi="Times New Roman" w:eastAsia="Times New Roman" w:cs="Times New Roman"/>
          <w:b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</w:r>
      <w:r>
        <w:rPr>
          <w:rFonts w:ascii="Times New Roman" w:hAnsi="Times New Roman" w:eastAsia="Times New Roman" w:cs="Times New Roman"/>
          <w:b/>
        </w:rPr>
      </w:r>
      <w:r>
        <w:rPr>
          <w:rFonts w:ascii="Times New Roman" w:hAnsi="Times New Roman" w:eastAsia="Times New Roman" w:cs="Times New Roman"/>
          <w:b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 xml:space="preserve">                 МП                                                                                     </w:t>
      </w:r>
      <w:r>
        <w:rPr>
          <w:rFonts w:ascii="Times New Roman" w:hAnsi="Times New Roman" w:eastAsia="Times New Roman" w:cs="Times New Roman"/>
          <w:b/>
        </w:rPr>
        <w:t xml:space="preserve">     </w:t>
      </w:r>
      <w:r>
        <w:rPr>
          <w:rFonts w:ascii="Times New Roman" w:hAnsi="Times New Roman" w:eastAsia="Times New Roman" w:cs="Times New Roman"/>
          <w:b/>
        </w:rPr>
        <w:t xml:space="preserve">МП</w:t>
      </w:r>
      <w:r>
        <w:rPr>
          <w:rFonts w:ascii="Times New Roman" w:hAnsi="Times New Roman" w:eastAsia="Times New Roman" w:cs="Times New Roman"/>
          <w:b/>
        </w:rPr>
      </w:r>
      <w:r>
        <w:rPr>
          <w:rFonts w:ascii="Times New Roman" w:hAnsi="Times New Roman" w:eastAsia="Times New Roman" w:cs="Times New Roman"/>
          <w:b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851" w:bottom="1134" w:left="1418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  <w:footnote w:id="2">
    <w:p>
      <w:pPr>
        <w:pStyle w:val="934"/>
        <w:jc w:val="both"/>
      </w:pPr>
      <w:r>
        <w:rPr>
          <w:rStyle w:val="936"/>
        </w:rPr>
        <w:footnoteRef/>
      </w:r>
      <w:r>
        <w:t xml:space="preserve"> </w:t>
      </w:r>
      <w:r>
        <w:t xml:space="preserve">Требования подлежат обязательному включению в состав документации о закупке.</w:t>
      </w:r>
      <w:r/>
    </w:p>
  </w:footnote>
  <w:footnote w:id="3">
    <w:p>
      <w:pPr>
        <w:pStyle w:val="934"/>
        <w:jc w:val="both"/>
      </w:pPr>
      <w:r>
        <w:rPr>
          <w:rStyle w:val="936"/>
        </w:rPr>
        <w:footnoteRef/>
      </w:r>
      <w:r>
        <w:t xml:space="preserve"> Актуальный Перечень Банков-Гарантов Группы </w:t>
      </w:r>
      <w:r>
        <w:t xml:space="preserve">РусГидро</w:t>
      </w:r>
      <w:r>
        <w:t xml:space="preserve"> размещен на официальном сайте Общества http://zakupki.rushydro.ru/PublicContent/Section/6</w:t>
      </w:r>
      <w:r/>
    </w:p>
  </w:footnote>
  <w:footnote w:id="4">
    <w:p>
      <w:pPr>
        <w:pStyle w:val="934"/>
        <w:jc w:val="both"/>
      </w:pPr>
      <w:r>
        <w:rPr>
          <w:rStyle w:val="936"/>
        </w:rPr>
        <w:footnoteRef/>
      </w:r>
      <w:r>
        <w:t xml:space="preserve"> </w:t>
      </w:r>
      <w:r>
        <w:t xml:space="preserve">Если кредитная организация имеет рейтинги креди</w:t>
      </w:r>
      <w:r>
        <w:t xml:space="preserve">тоспособности разных уровней, присвоенные разными рейтинговыми агентствами, то в качестве рейтинга кредитоспособности принимается максимальный из присвоенных (по данным сайта кредитной организации и /или рейтинговых агентств и/или из информационных систем </w:t>
      </w:r>
      <w:r>
        <w:t xml:space="preserve">Reuters</w:t>
      </w:r>
      <w:r>
        <w:t xml:space="preserve">, </w:t>
      </w:r>
      <w:r>
        <w:t xml:space="preserve">Bloomberg</w:t>
      </w:r>
      <w:r>
        <w:t xml:space="preserve">, </w:t>
      </w:r>
      <w:r>
        <w:t xml:space="preserve">Сbonds</w:t>
      </w:r>
      <w:r>
        <w:t xml:space="preserve">).</w:t>
      </w:r>
      <w:r/>
    </w:p>
  </w:footnote>
  <w:footnote w:id="5">
    <w:p>
      <w:pPr>
        <w:pStyle w:val="934"/>
        <w:jc w:val="both"/>
      </w:pPr>
      <w:r>
        <w:rPr>
          <w:rStyle w:val="936"/>
        </w:rPr>
        <w:footnoteRef/>
      </w:r>
      <w:r>
        <w:t xml:space="preserve"> </w:t>
      </w:r>
      <w:r>
        <w:t xml:space="preserve">Данное требование не применяется в отношении небанковских кредитных организаций</w:t>
      </w:r>
      <w:r>
        <w:t xml:space="preserve">.</w:t>
      </w:r>
      <w:r/>
    </w:p>
  </w:footnote>
  <w:footnote w:id="6">
    <w:p>
      <w:pPr>
        <w:pStyle w:val="934"/>
        <w:jc w:val="both"/>
      </w:pPr>
      <w:r>
        <w:rPr>
          <w:rStyle w:val="936"/>
        </w:rPr>
        <w:footnoteRef/>
      </w:r>
      <w:r>
        <w:t xml:space="preserve"> </w:t>
      </w:r>
      <w:r>
        <w:t xml:space="preserve">При издании ПО организационно-распорядительного документа о ТФУ данный критерий может быть исключен</w:t>
      </w:r>
      <w:r>
        <w:t xml:space="preserve">.</w:t>
      </w:r>
      <w:r/>
    </w:p>
  </w:footnote>
  <w:footnote w:id="7">
    <w:p>
      <w:pPr>
        <w:pStyle w:val="934"/>
        <w:jc w:val="both"/>
      </w:pPr>
      <w:r>
        <w:rPr>
          <w:rStyle w:val="936"/>
        </w:rPr>
        <w:footnoteRef/>
      </w:r>
      <w:r>
        <w:t xml:space="preserve"> Значение показателя округляется в большую или меньшую сторону до суммы, кратн</w:t>
      </w:r>
      <w:r>
        <w:t xml:space="preserve">ой 100 млн. руб. по правилам математического округления. В случае, если первая из отделяемых цифр меньше 5 - то значение показателя округляется в меньшую сторону; если первая из отделяемых цифр больше 5, то значение показателя округляется в большую сторону</w:t>
      </w:r>
      <w:r>
        <w:t xml:space="preserve">. </w:t>
      </w:r>
      <w:r>
        <w:t xml:space="preserve">Например, расчетное значение лимита - 5 440 млн. руб., лимит к установлению - 5 400 млн. руб.; расчетное значение лимита - 5 450 млн. руб., лимит к установлению - 5 500 млн. руб.</w:t>
      </w:r>
      <w:r/>
    </w:p>
  </w:footnote>
  <w:footnote w:id="8">
    <w:p>
      <w:pPr>
        <w:pStyle w:val="934"/>
        <w:jc w:val="both"/>
      </w:pPr>
      <w:r>
        <w:rPr>
          <w:rStyle w:val="936"/>
        </w:rPr>
        <w:footnoteRef/>
      </w:r>
      <w:r>
        <w:t xml:space="preserve"> </w:t>
      </w:r>
      <w:r>
        <w:t xml:space="preserve">Если кредитная организация имеет рейтинги креди</w:t>
      </w:r>
      <w:r>
        <w:t xml:space="preserve">тоспособности разных уровней, присвоенные разными рейтинговыми агентствами, то в качестве рейтинга кредитоспособности принимается максимальный из присвоенных (по данным сайта кредитной организации и /или рейтинговых агентств и/или из информационных систем </w:t>
      </w:r>
      <w:r>
        <w:t xml:space="preserve">Reuters</w:t>
      </w:r>
      <w:r>
        <w:t xml:space="preserve">, </w:t>
      </w:r>
      <w:r>
        <w:t xml:space="preserve">Bloomberg</w:t>
      </w:r>
      <w:r>
        <w:t xml:space="preserve">, </w:t>
      </w:r>
      <w:r>
        <w:t xml:space="preserve">Сbonds</w:t>
      </w:r>
      <w:r>
        <w:t xml:space="preserve">)</w:t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3196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4614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5672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709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8508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9566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10984" w:hanging="216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 w:val="false"/>
      <w:suff w:val="tab"/>
      <w:lvlText w:val="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isLgl/>
      <w:suff w:val="tab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multiLevelType w:val="hybridMultilevel"/>
    <w:lvl w:ilvl="0">
      <w:start w:val="9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2136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5328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852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0296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1712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3488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56">
    <w:name w:val="Heading 1 Char"/>
    <w:basedOn w:val="931"/>
    <w:link w:val="930"/>
    <w:uiPriority w:val="9"/>
    <w:rPr>
      <w:rFonts w:ascii="Arial" w:hAnsi="Arial" w:eastAsia="Arial" w:cs="Arial"/>
      <w:sz w:val="40"/>
      <w:szCs w:val="40"/>
    </w:rPr>
  </w:style>
  <w:style w:type="paragraph" w:styleId="757">
    <w:name w:val="Heading 2"/>
    <w:basedOn w:val="929"/>
    <w:next w:val="929"/>
    <w:link w:val="75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58">
    <w:name w:val="Heading 2 Char"/>
    <w:basedOn w:val="931"/>
    <w:link w:val="757"/>
    <w:uiPriority w:val="9"/>
    <w:rPr>
      <w:rFonts w:ascii="Arial" w:hAnsi="Arial" w:eastAsia="Arial" w:cs="Arial"/>
      <w:sz w:val="34"/>
    </w:rPr>
  </w:style>
  <w:style w:type="paragraph" w:styleId="759">
    <w:name w:val="Heading 3"/>
    <w:basedOn w:val="929"/>
    <w:next w:val="929"/>
    <w:link w:val="76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60">
    <w:name w:val="Heading 3 Char"/>
    <w:basedOn w:val="931"/>
    <w:link w:val="759"/>
    <w:uiPriority w:val="9"/>
    <w:rPr>
      <w:rFonts w:ascii="Arial" w:hAnsi="Arial" w:eastAsia="Arial" w:cs="Arial"/>
      <w:sz w:val="30"/>
      <w:szCs w:val="30"/>
    </w:rPr>
  </w:style>
  <w:style w:type="paragraph" w:styleId="761">
    <w:name w:val="Heading 4"/>
    <w:basedOn w:val="929"/>
    <w:next w:val="929"/>
    <w:link w:val="76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62">
    <w:name w:val="Heading 4 Char"/>
    <w:basedOn w:val="931"/>
    <w:link w:val="761"/>
    <w:uiPriority w:val="9"/>
    <w:rPr>
      <w:rFonts w:ascii="Arial" w:hAnsi="Arial" w:eastAsia="Arial" w:cs="Arial"/>
      <w:b/>
      <w:bCs/>
      <w:sz w:val="26"/>
      <w:szCs w:val="26"/>
    </w:rPr>
  </w:style>
  <w:style w:type="paragraph" w:styleId="763">
    <w:name w:val="Heading 5"/>
    <w:basedOn w:val="929"/>
    <w:next w:val="929"/>
    <w:link w:val="76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64">
    <w:name w:val="Heading 5 Char"/>
    <w:basedOn w:val="931"/>
    <w:link w:val="763"/>
    <w:uiPriority w:val="9"/>
    <w:rPr>
      <w:rFonts w:ascii="Arial" w:hAnsi="Arial" w:eastAsia="Arial" w:cs="Arial"/>
      <w:b/>
      <w:bCs/>
      <w:sz w:val="24"/>
      <w:szCs w:val="24"/>
    </w:rPr>
  </w:style>
  <w:style w:type="paragraph" w:styleId="765">
    <w:name w:val="Heading 6"/>
    <w:basedOn w:val="929"/>
    <w:next w:val="929"/>
    <w:link w:val="76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66">
    <w:name w:val="Heading 6 Char"/>
    <w:basedOn w:val="931"/>
    <w:link w:val="765"/>
    <w:uiPriority w:val="9"/>
    <w:rPr>
      <w:rFonts w:ascii="Arial" w:hAnsi="Arial" w:eastAsia="Arial" w:cs="Arial"/>
      <w:b/>
      <w:bCs/>
      <w:sz w:val="22"/>
      <w:szCs w:val="22"/>
    </w:rPr>
  </w:style>
  <w:style w:type="paragraph" w:styleId="767">
    <w:name w:val="Heading 7"/>
    <w:basedOn w:val="929"/>
    <w:next w:val="929"/>
    <w:link w:val="76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68">
    <w:name w:val="Heading 7 Char"/>
    <w:basedOn w:val="931"/>
    <w:link w:val="76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69">
    <w:name w:val="Heading 8"/>
    <w:basedOn w:val="929"/>
    <w:next w:val="929"/>
    <w:link w:val="77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70">
    <w:name w:val="Heading 8 Char"/>
    <w:basedOn w:val="931"/>
    <w:link w:val="769"/>
    <w:uiPriority w:val="9"/>
    <w:rPr>
      <w:rFonts w:ascii="Arial" w:hAnsi="Arial" w:eastAsia="Arial" w:cs="Arial"/>
      <w:i/>
      <w:iCs/>
      <w:sz w:val="22"/>
      <w:szCs w:val="22"/>
    </w:rPr>
  </w:style>
  <w:style w:type="paragraph" w:styleId="771">
    <w:name w:val="Heading 9"/>
    <w:basedOn w:val="929"/>
    <w:next w:val="929"/>
    <w:link w:val="77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72">
    <w:name w:val="Heading 9 Char"/>
    <w:basedOn w:val="931"/>
    <w:link w:val="771"/>
    <w:uiPriority w:val="9"/>
    <w:rPr>
      <w:rFonts w:ascii="Arial" w:hAnsi="Arial" w:eastAsia="Arial" w:cs="Arial"/>
      <w:i/>
      <w:iCs/>
      <w:sz w:val="21"/>
      <w:szCs w:val="21"/>
    </w:rPr>
  </w:style>
  <w:style w:type="paragraph" w:styleId="773">
    <w:name w:val="No Spacing"/>
    <w:uiPriority w:val="1"/>
    <w:qFormat/>
    <w:pPr>
      <w:spacing w:before="0" w:after="0" w:line="240" w:lineRule="auto"/>
    </w:pPr>
  </w:style>
  <w:style w:type="paragraph" w:styleId="774">
    <w:name w:val="Title"/>
    <w:basedOn w:val="929"/>
    <w:next w:val="929"/>
    <w:link w:val="7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75">
    <w:name w:val="Title Char"/>
    <w:basedOn w:val="931"/>
    <w:link w:val="774"/>
    <w:uiPriority w:val="10"/>
    <w:rPr>
      <w:sz w:val="48"/>
      <w:szCs w:val="48"/>
    </w:rPr>
  </w:style>
  <w:style w:type="paragraph" w:styleId="776">
    <w:name w:val="Subtitle"/>
    <w:basedOn w:val="929"/>
    <w:next w:val="929"/>
    <w:link w:val="777"/>
    <w:uiPriority w:val="11"/>
    <w:qFormat/>
    <w:pPr>
      <w:spacing w:before="200" w:after="200"/>
    </w:pPr>
    <w:rPr>
      <w:sz w:val="24"/>
      <w:szCs w:val="24"/>
    </w:rPr>
  </w:style>
  <w:style w:type="character" w:styleId="777">
    <w:name w:val="Subtitle Char"/>
    <w:basedOn w:val="931"/>
    <w:link w:val="776"/>
    <w:uiPriority w:val="11"/>
    <w:rPr>
      <w:sz w:val="24"/>
      <w:szCs w:val="24"/>
    </w:rPr>
  </w:style>
  <w:style w:type="paragraph" w:styleId="778">
    <w:name w:val="Quote"/>
    <w:basedOn w:val="929"/>
    <w:next w:val="929"/>
    <w:link w:val="779"/>
    <w:uiPriority w:val="29"/>
    <w:qFormat/>
    <w:pPr>
      <w:ind w:left="720" w:right="720"/>
    </w:pPr>
    <w:rPr>
      <w:i/>
    </w:rPr>
  </w:style>
  <w:style w:type="character" w:styleId="779">
    <w:name w:val="Quote Char"/>
    <w:link w:val="778"/>
    <w:uiPriority w:val="29"/>
    <w:rPr>
      <w:i/>
    </w:rPr>
  </w:style>
  <w:style w:type="paragraph" w:styleId="780">
    <w:name w:val="Intense Quote"/>
    <w:basedOn w:val="929"/>
    <w:next w:val="929"/>
    <w:link w:val="7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81">
    <w:name w:val="Intense Quote Char"/>
    <w:link w:val="780"/>
    <w:uiPriority w:val="30"/>
    <w:rPr>
      <w:i/>
    </w:rPr>
  </w:style>
  <w:style w:type="paragraph" w:styleId="782">
    <w:name w:val="Header"/>
    <w:basedOn w:val="929"/>
    <w:link w:val="7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83">
    <w:name w:val="Header Char"/>
    <w:basedOn w:val="931"/>
    <w:link w:val="782"/>
    <w:uiPriority w:val="99"/>
  </w:style>
  <w:style w:type="paragraph" w:styleId="784">
    <w:name w:val="Footer"/>
    <w:basedOn w:val="929"/>
    <w:link w:val="7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85">
    <w:name w:val="Footer Char"/>
    <w:basedOn w:val="931"/>
    <w:link w:val="784"/>
    <w:uiPriority w:val="99"/>
  </w:style>
  <w:style w:type="paragraph" w:styleId="786">
    <w:name w:val="Caption"/>
    <w:basedOn w:val="929"/>
    <w:next w:val="92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87">
    <w:name w:val="Caption Char"/>
    <w:basedOn w:val="786"/>
    <w:link w:val="784"/>
    <w:uiPriority w:val="99"/>
  </w:style>
  <w:style w:type="table" w:styleId="788">
    <w:name w:val="Table Grid"/>
    <w:basedOn w:val="9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9">
    <w:name w:val="Table Grid Light"/>
    <w:basedOn w:val="9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0">
    <w:name w:val="Plain Table 1"/>
    <w:basedOn w:val="9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1">
    <w:name w:val="Plain Table 2"/>
    <w:basedOn w:val="9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2">
    <w:name w:val="Plain Table 3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93">
    <w:name w:val="Plain Table 4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Plain Table 5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95">
    <w:name w:val="Grid Table 1 Light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Grid Table 1 Light - Accent 1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Grid Table 1 Light - Accent 2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Grid Table 1 Light - Accent 3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Grid Table 1 Light - Accent 4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Grid Table 1 Light - Accent 5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Grid Table 1 Light - Accent 6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Grid Table 2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2 - Accent 1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2 - Accent 2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2 - Accent 3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2 - Accent 4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2 - Accent 5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2 - Accent 6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3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3 - Accent 1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3 - Accent 2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3 - Accent 3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3 - Accent 4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3 - Accent 5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3 - Accent 6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4"/>
    <w:basedOn w:val="9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17">
    <w:name w:val="Grid Table 4 - Accent 1"/>
    <w:basedOn w:val="9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18">
    <w:name w:val="Grid Table 4 - Accent 2"/>
    <w:basedOn w:val="9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19">
    <w:name w:val="Grid Table 4 - Accent 3"/>
    <w:basedOn w:val="9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20">
    <w:name w:val="Grid Table 4 - Accent 4"/>
    <w:basedOn w:val="9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21">
    <w:name w:val="Grid Table 4 - Accent 5"/>
    <w:basedOn w:val="9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2">
    <w:name w:val="Grid Table 4 - Accent 6"/>
    <w:basedOn w:val="9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3">
    <w:name w:val="Grid Table 5 Dark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4">
    <w:name w:val="Grid Table 5 Dark- Accent 1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25">
    <w:name w:val="Grid Table 5 Dark - Accent 2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26">
    <w:name w:val="Grid Table 5 Dark - Accent 3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27">
    <w:name w:val="Grid Table 5 Dark- Accent 4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28">
    <w:name w:val="Grid Table 5 Dark - Accent 5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29">
    <w:name w:val="Grid Table 5 Dark - Accent 6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30">
    <w:name w:val="Grid Table 6 Colorful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31">
    <w:name w:val="Grid Table 6 Colorful - Accent 1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32">
    <w:name w:val="Grid Table 6 Colorful - Accent 2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33">
    <w:name w:val="Grid Table 6 Colorful - Accent 3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34">
    <w:name w:val="Grid Table 6 Colorful - Accent 4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35">
    <w:name w:val="Grid Table 6 Colorful - Accent 5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6">
    <w:name w:val="Grid Table 6 Colorful - Accent 6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7">
    <w:name w:val="Grid Table 7 Colorful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Grid Table 7 Colorful - Accent 1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Grid Table 7 Colorful - Accent 2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Grid Table 7 Colorful - Accent 3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Grid Table 7 Colorful - Accent 4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Grid Table 7 Colorful - Accent 5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Grid Table 7 Colorful - Accent 6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List Table 1 Light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List Table 1 Light - Accent 1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List Table 1 Light - Accent 2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List Table 1 Light - Accent 3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List Table 1 Light - Accent 4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List Table 1 Light - Accent 5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List Table 1 Light - Accent 6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List Table 2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52">
    <w:name w:val="List Table 2 - Accent 1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53">
    <w:name w:val="List Table 2 - Accent 2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54">
    <w:name w:val="List Table 2 - Accent 3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55">
    <w:name w:val="List Table 2 - Accent 4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56">
    <w:name w:val="List Table 2 - Accent 5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57">
    <w:name w:val="List Table 2 - Accent 6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58">
    <w:name w:val="List Table 3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>
    <w:name w:val="List Table 3 - Accent 1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>
    <w:name w:val="List Table 3 - Accent 2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>
    <w:name w:val="List Table 3 - Accent 3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>
    <w:name w:val="List Table 3 - Accent 4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>
    <w:name w:val="List Table 3 - Accent 5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>
    <w:name w:val="List Table 3 - Accent 6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>
    <w:name w:val="List Table 4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>
    <w:name w:val="List Table 4 - Accent 1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>
    <w:name w:val="List Table 4 - Accent 2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>
    <w:name w:val="List Table 4 - Accent 3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>
    <w:name w:val="List Table 4 - Accent 4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>
    <w:name w:val="List Table 4 - Accent 5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>
    <w:name w:val="List Table 4 - Accent 6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>
    <w:name w:val="List Table 5 Dark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3">
    <w:name w:val="List Table 5 Dark - Accent 1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4">
    <w:name w:val="List Table 5 Dark - Accent 2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5">
    <w:name w:val="List Table 5 Dark - Accent 3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6">
    <w:name w:val="List Table 5 Dark - Accent 4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7">
    <w:name w:val="List Table 5 Dark - Accent 5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8">
    <w:name w:val="List Table 5 Dark - Accent 6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9">
    <w:name w:val="List Table 6 Colorful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80">
    <w:name w:val="List Table 6 Colorful - Accent 1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81">
    <w:name w:val="List Table 6 Colorful - Accent 2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82">
    <w:name w:val="List Table 6 Colorful - Accent 3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83">
    <w:name w:val="List Table 6 Colorful - Accent 4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84">
    <w:name w:val="List Table 6 Colorful - Accent 5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85">
    <w:name w:val="List Table 6 Colorful - Accent 6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86">
    <w:name w:val="List Table 7 Colorful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87">
    <w:name w:val="List Table 7 Colorful - Accent 1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88">
    <w:name w:val="List Table 7 Colorful - Accent 2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89">
    <w:name w:val="List Table 7 Colorful - Accent 3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90">
    <w:name w:val="List Table 7 Colorful - Accent 4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91">
    <w:name w:val="List Table 7 Colorful - Accent 5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92">
    <w:name w:val="List Table 7 Colorful - Accent 6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93">
    <w:name w:val="Lined - Accent"/>
    <w:basedOn w:val="9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4">
    <w:name w:val="Lined - Accent 1"/>
    <w:basedOn w:val="9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95">
    <w:name w:val="Lined - Accent 2"/>
    <w:basedOn w:val="9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96">
    <w:name w:val="Lined - Accent 3"/>
    <w:basedOn w:val="9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97">
    <w:name w:val="Lined - Accent 4"/>
    <w:basedOn w:val="9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98">
    <w:name w:val="Lined - Accent 5"/>
    <w:basedOn w:val="9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99">
    <w:name w:val="Lined - Accent 6"/>
    <w:basedOn w:val="9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00">
    <w:name w:val="Bordered &amp; Lined - Accent"/>
    <w:basedOn w:val="9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01">
    <w:name w:val="Bordered &amp; Lined - Accent 1"/>
    <w:basedOn w:val="9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02">
    <w:name w:val="Bordered &amp; Lined - Accent 2"/>
    <w:basedOn w:val="9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03">
    <w:name w:val="Bordered &amp; Lined - Accent 3"/>
    <w:basedOn w:val="9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04">
    <w:name w:val="Bordered &amp; Lined - Accent 4"/>
    <w:basedOn w:val="9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05">
    <w:name w:val="Bordered &amp; Lined - Accent 5"/>
    <w:basedOn w:val="9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06">
    <w:name w:val="Bordered &amp; Lined - Accent 6"/>
    <w:basedOn w:val="9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07">
    <w:name w:val="Bordered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08">
    <w:name w:val="Bordered - Accent 1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09">
    <w:name w:val="Bordered - Accent 2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10">
    <w:name w:val="Bordered - Accent 3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11">
    <w:name w:val="Bordered - Accent 4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12">
    <w:name w:val="Bordered - Accent 5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13">
    <w:name w:val="Bordered - Accent 6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14">
    <w:name w:val="Footnote Text Char"/>
    <w:link w:val="934"/>
    <w:uiPriority w:val="99"/>
    <w:rPr>
      <w:sz w:val="18"/>
    </w:rPr>
  </w:style>
  <w:style w:type="paragraph" w:styleId="915">
    <w:name w:val="endnote text"/>
    <w:basedOn w:val="929"/>
    <w:link w:val="916"/>
    <w:uiPriority w:val="99"/>
    <w:semiHidden/>
    <w:unhideWhenUsed/>
    <w:pPr>
      <w:spacing w:after="0" w:line="240" w:lineRule="auto"/>
    </w:pPr>
    <w:rPr>
      <w:sz w:val="20"/>
    </w:rPr>
  </w:style>
  <w:style w:type="character" w:styleId="916">
    <w:name w:val="Endnote Text Char"/>
    <w:link w:val="915"/>
    <w:uiPriority w:val="99"/>
    <w:rPr>
      <w:sz w:val="20"/>
    </w:rPr>
  </w:style>
  <w:style w:type="character" w:styleId="917">
    <w:name w:val="endnote reference"/>
    <w:basedOn w:val="931"/>
    <w:uiPriority w:val="99"/>
    <w:semiHidden/>
    <w:unhideWhenUsed/>
    <w:rPr>
      <w:vertAlign w:val="superscript"/>
    </w:rPr>
  </w:style>
  <w:style w:type="paragraph" w:styleId="918">
    <w:name w:val="toc 1"/>
    <w:basedOn w:val="929"/>
    <w:next w:val="929"/>
    <w:uiPriority w:val="39"/>
    <w:unhideWhenUsed/>
    <w:pPr>
      <w:ind w:left="0" w:right="0" w:firstLine="0"/>
      <w:spacing w:after="57"/>
    </w:pPr>
  </w:style>
  <w:style w:type="paragraph" w:styleId="919">
    <w:name w:val="toc 2"/>
    <w:basedOn w:val="929"/>
    <w:next w:val="929"/>
    <w:uiPriority w:val="39"/>
    <w:unhideWhenUsed/>
    <w:pPr>
      <w:ind w:left="283" w:right="0" w:firstLine="0"/>
      <w:spacing w:after="57"/>
    </w:pPr>
  </w:style>
  <w:style w:type="paragraph" w:styleId="920">
    <w:name w:val="toc 3"/>
    <w:basedOn w:val="929"/>
    <w:next w:val="929"/>
    <w:uiPriority w:val="39"/>
    <w:unhideWhenUsed/>
    <w:pPr>
      <w:ind w:left="567" w:right="0" w:firstLine="0"/>
      <w:spacing w:after="57"/>
    </w:pPr>
  </w:style>
  <w:style w:type="paragraph" w:styleId="921">
    <w:name w:val="toc 4"/>
    <w:basedOn w:val="929"/>
    <w:next w:val="929"/>
    <w:uiPriority w:val="39"/>
    <w:unhideWhenUsed/>
    <w:pPr>
      <w:ind w:left="850" w:right="0" w:firstLine="0"/>
      <w:spacing w:after="57"/>
    </w:pPr>
  </w:style>
  <w:style w:type="paragraph" w:styleId="922">
    <w:name w:val="toc 5"/>
    <w:basedOn w:val="929"/>
    <w:next w:val="929"/>
    <w:uiPriority w:val="39"/>
    <w:unhideWhenUsed/>
    <w:pPr>
      <w:ind w:left="1134" w:right="0" w:firstLine="0"/>
      <w:spacing w:after="57"/>
    </w:pPr>
  </w:style>
  <w:style w:type="paragraph" w:styleId="923">
    <w:name w:val="toc 6"/>
    <w:basedOn w:val="929"/>
    <w:next w:val="929"/>
    <w:uiPriority w:val="39"/>
    <w:unhideWhenUsed/>
    <w:pPr>
      <w:ind w:left="1417" w:right="0" w:firstLine="0"/>
      <w:spacing w:after="57"/>
    </w:pPr>
  </w:style>
  <w:style w:type="paragraph" w:styleId="924">
    <w:name w:val="toc 7"/>
    <w:basedOn w:val="929"/>
    <w:next w:val="929"/>
    <w:uiPriority w:val="39"/>
    <w:unhideWhenUsed/>
    <w:pPr>
      <w:ind w:left="1701" w:right="0" w:firstLine="0"/>
      <w:spacing w:after="57"/>
    </w:pPr>
  </w:style>
  <w:style w:type="paragraph" w:styleId="925">
    <w:name w:val="toc 8"/>
    <w:basedOn w:val="929"/>
    <w:next w:val="929"/>
    <w:uiPriority w:val="39"/>
    <w:unhideWhenUsed/>
    <w:pPr>
      <w:ind w:left="1984" w:right="0" w:firstLine="0"/>
      <w:spacing w:after="57"/>
    </w:pPr>
  </w:style>
  <w:style w:type="paragraph" w:styleId="926">
    <w:name w:val="toc 9"/>
    <w:basedOn w:val="929"/>
    <w:next w:val="929"/>
    <w:uiPriority w:val="39"/>
    <w:unhideWhenUsed/>
    <w:pPr>
      <w:ind w:left="2268" w:right="0" w:firstLine="0"/>
      <w:spacing w:after="57"/>
    </w:pPr>
  </w:style>
  <w:style w:type="paragraph" w:styleId="927">
    <w:name w:val="TOC Heading"/>
    <w:uiPriority w:val="39"/>
    <w:unhideWhenUsed/>
  </w:style>
  <w:style w:type="paragraph" w:styleId="928">
    <w:name w:val="table of figures"/>
    <w:basedOn w:val="929"/>
    <w:next w:val="929"/>
    <w:uiPriority w:val="99"/>
    <w:unhideWhenUsed/>
    <w:pPr>
      <w:spacing w:after="0" w:afterAutospacing="0"/>
    </w:pPr>
  </w:style>
  <w:style w:type="paragraph" w:styleId="929" w:default="1">
    <w:name w:val="Normal"/>
    <w:qFormat/>
  </w:style>
  <w:style w:type="paragraph" w:styleId="930">
    <w:name w:val="Heading 1"/>
    <w:basedOn w:val="929"/>
    <w:next w:val="929"/>
    <w:link w:val="939"/>
    <w:qFormat/>
    <w:pPr>
      <w:keepNext/>
      <w:spacing w:before="240" w:after="60" w:line="240" w:lineRule="auto"/>
      <w:outlineLvl w:val="0"/>
    </w:pPr>
    <w:rPr>
      <w:rFonts w:ascii="Cambria" w:hAnsi="Cambria" w:eastAsia="Times New Roman" w:cs="Times New Roman"/>
      <w:b/>
      <w:bCs/>
      <w:sz w:val="32"/>
      <w:szCs w:val="32"/>
      <w:lang w:eastAsia="ru-RU"/>
    </w:rPr>
  </w:style>
  <w:style w:type="character" w:styleId="931" w:default="1">
    <w:name w:val="Default Paragraph Font"/>
    <w:uiPriority w:val="1"/>
    <w:semiHidden/>
    <w:unhideWhenUsed/>
  </w:style>
  <w:style w:type="table" w:styleId="93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33" w:default="1">
    <w:name w:val="No List"/>
    <w:uiPriority w:val="99"/>
    <w:semiHidden/>
    <w:unhideWhenUsed/>
  </w:style>
  <w:style w:type="paragraph" w:styleId="934">
    <w:name w:val="footnote text"/>
    <w:basedOn w:val="929"/>
    <w:link w:val="935"/>
    <w:uiPriority w:val="99"/>
    <w:unhideWhenUsed/>
    <w:pPr>
      <w:spacing w:after="0" w:line="240" w:lineRule="auto"/>
    </w:pPr>
    <w:rPr>
      <w:sz w:val="20"/>
      <w:szCs w:val="20"/>
    </w:rPr>
  </w:style>
  <w:style w:type="character" w:styleId="935" w:customStyle="1">
    <w:name w:val="Текст сноски Знак"/>
    <w:basedOn w:val="931"/>
    <w:link w:val="934"/>
    <w:uiPriority w:val="99"/>
    <w:rPr>
      <w:sz w:val="20"/>
      <w:szCs w:val="20"/>
    </w:rPr>
  </w:style>
  <w:style w:type="character" w:styleId="936">
    <w:name w:val="footnote reference"/>
    <w:rPr>
      <w:vertAlign w:val="superscript"/>
    </w:rPr>
  </w:style>
  <w:style w:type="character" w:styleId="937">
    <w:name w:val="Hyperlink"/>
    <w:uiPriority w:val="99"/>
    <w:unhideWhenUsed/>
    <w:rPr>
      <w:color w:val="0000ff"/>
      <w:u w:val="single"/>
    </w:rPr>
  </w:style>
  <w:style w:type="character" w:styleId="938">
    <w:name w:val="FollowedHyperlink"/>
    <w:basedOn w:val="931"/>
    <w:uiPriority w:val="99"/>
    <w:semiHidden/>
    <w:unhideWhenUsed/>
    <w:rPr>
      <w:color w:val="800080" w:themeColor="followedHyperlink"/>
      <w:u w:val="single"/>
    </w:rPr>
  </w:style>
  <w:style w:type="character" w:styleId="939" w:customStyle="1">
    <w:name w:val="Заголовок 1 Знак"/>
    <w:basedOn w:val="931"/>
    <w:link w:val="930"/>
    <w:rPr>
      <w:rFonts w:ascii="Cambria" w:hAnsi="Cambria" w:eastAsia="Times New Roman" w:cs="Times New Roman"/>
      <w:b/>
      <w:bCs/>
      <w:sz w:val="32"/>
      <w:szCs w:val="32"/>
      <w:lang w:eastAsia="ru-RU"/>
    </w:rPr>
  </w:style>
  <w:style w:type="paragraph" w:styleId="940">
    <w:name w:val="List Paragraph"/>
    <w:basedOn w:val="929"/>
    <w:uiPriority w:val="34"/>
    <w:qFormat/>
    <w:pPr>
      <w:contextualSpacing/>
      <w:ind w:left="720"/>
    </w:pPr>
    <w:rPr>
      <w:rFonts w:ascii="Calibri" w:hAnsi="Calibri" w:eastAsia="Calibri" w:cs="Times New Roman"/>
    </w:rPr>
  </w:style>
  <w:style w:type="paragraph" w:styleId="941" w:customStyle="1">
    <w:name w:val="ConsPlusNonformat"/>
    <w:pPr>
      <w:spacing w:after="0" w:line="240" w:lineRule="auto"/>
      <w:widowControl w:val="off"/>
    </w:pPr>
    <w:rPr>
      <w:rFonts w:ascii="Courier New" w:hAnsi="Courier New" w:eastAsia="Times New Roman" w:cs="Courier New"/>
      <w:sz w:val="20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://www.cbr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DGK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Лукьянова</dc:creator>
  <cp:revision>32</cp:revision>
  <dcterms:created xsi:type="dcterms:W3CDTF">2019-12-30T00:33:00Z</dcterms:created>
  <dcterms:modified xsi:type="dcterms:W3CDTF">2024-10-16T05:13:10Z</dcterms:modified>
</cp:coreProperties>
</file>